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B4E55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br/>
      </w: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 xml:space="preserve">labellisé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225124" w:rsidRPr="00D45A23">
        <w:rPr>
          <w:b/>
          <w:noProof/>
          <w:sz w:val="32"/>
          <w:szCs w:val="32"/>
          <w:lang w:eastAsia="fr-FR"/>
        </w:rPr>
        <w:t>d</w:t>
      </w:r>
      <w:r w:rsidR="00465DBD" w:rsidRPr="00D45A23">
        <w:rPr>
          <w:b/>
          <w:noProof/>
          <w:sz w:val="32"/>
          <w:szCs w:val="32"/>
          <w:lang w:eastAsia="fr-FR"/>
        </w:rPr>
        <w:t>’ERDRE EN ANJOU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3B69D3" w:rsidRPr="00D45A23" w:rsidRDefault="003B69D3" w:rsidP="003B69D3">
      <w:p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Erdre-en-Anjou, une commune nouvelle :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de bientôt 6.000 habitants répartis sur 4 communes déléguées sur un axe dynamique près d'Angers ;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dotée d'un tissu économique entreprenant ainsi que d'un tissu associatif très actif ;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adhérente au schéma de mutualisation mis en œuvre par la Communauté des Vallées du Haut Anjou pour faciliter le fonctionnement interne.</w:t>
      </w:r>
    </w:p>
    <w:p w:rsidR="003B69D3" w:rsidRPr="00D45A23" w:rsidRDefault="003B69D3" w:rsidP="003B69D3">
      <w:pPr>
        <w:pStyle w:val="Paragraphedeliste"/>
        <w:numPr>
          <w:ilvl w:val="0"/>
          <w:numId w:val="38"/>
        </w:numPr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>Dynamique en transformation organisationnelle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71361E" w:rsidRPr="00D45A23" w:rsidRDefault="0071361E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Recrute par voie contractuelle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9B1A71" w:rsidP="0071361E">
      <w:pPr>
        <w:jc w:val="center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MAÎTRE NAGEUR SAUVETEUR (MNS)</w:t>
      </w:r>
      <w:r w:rsidR="0071361E" w:rsidRPr="00D45A23">
        <w:rPr>
          <w:b/>
          <w:noProof/>
          <w:sz w:val="32"/>
          <w:szCs w:val="32"/>
          <w:lang w:eastAsia="fr-FR"/>
        </w:rPr>
        <w:t xml:space="preserve"> 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B07F40">
        <w:rPr>
          <w:noProof/>
          <w:sz w:val="24"/>
          <w:szCs w:val="24"/>
          <w:lang w:eastAsia="fr-FR"/>
        </w:rPr>
        <w:t>éducateurs des activités physiques et sportives</w:t>
      </w:r>
      <w:r w:rsidR="00413A63" w:rsidRPr="00D45A23">
        <w:rPr>
          <w:noProof/>
          <w:sz w:val="24"/>
          <w:szCs w:val="24"/>
          <w:lang w:eastAsia="fr-FR"/>
        </w:rPr>
        <w:t xml:space="preserve"> </w:t>
      </w:r>
      <w:r w:rsidR="00B07F40">
        <w:rPr>
          <w:noProof/>
          <w:sz w:val="24"/>
          <w:szCs w:val="24"/>
          <w:lang w:eastAsia="fr-FR"/>
        </w:rPr>
        <w:t>(catégorie B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Pr="00D45A23" w:rsidRDefault="00673296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 w:rsidR="00431F03" w:rsidRPr="00D45A23">
        <w:rPr>
          <w:sz w:val="24"/>
          <w:szCs w:val="24"/>
        </w:rPr>
        <w:t>commune nouvelle d’ERDRE EN ANJOU</w:t>
      </w:r>
      <w:r w:rsidR="006B4E55">
        <w:rPr>
          <w:sz w:val="24"/>
          <w:szCs w:val="24"/>
        </w:rPr>
        <w:t xml:space="preserve">, placé sous la direction du Service à la Population </w:t>
      </w:r>
      <w:r w:rsidRPr="00D45A23">
        <w:rPr>
          <w:sz w:val="24"/>
          <w:szCs w:val="24"/>
        </w:rPr>
        <w:t>et en relation étroite avec les autres collaborateurs, vous assurerez</w:t>
      </w:r>
      <w:r w:rsidR="008824B1" w:rsidRPr="00D45A23">
        <w:rPr>
          <w:sz w:val="24"/>
          <w:szCs w:val="24"/>
        </w:rPr>
        <w:t xml:space="preserve"> notamment</w:t>
      </w:r>
      <w:r w:rsidRPr="00D45A23">
        <w:rPr>
          <w:sz w:val="24"/>
          <w:szCs w:val="24"/>
        </w:rPr>
        <w:t xml:space="preserve"> les missions suivantes :</w:t>
      </w:r>
    </w:p>
    <w:p w:rsidR="00431F03" w:rsidRPr="00D45A23" w:rsidRDefault="00431F03" w:rsidP="00431F03">
      <w:pPr>
        <w:pStyle w:val="Paragraphedeliste"/>
        <w:jc w:val="both"/>
        <w:rPr>
          <w:sz w:val="24"/>
          <w:szCs w:val="24"/>
        </w:rPr>
      </w:pPr>
    </w:p>
    <w:p w:rsidR="009B1A71" w:rsidRPr="00D609F1" w:rsidRDefault="009B1A71" w:rsidP="00912A7E">
      <w:pPr>
        <w:pStyle w:val="Paragraphedeliste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D609F1">
        <w:rPr>
          <w:b/>
          <w:sz w:val="24"/>
          <w:szCs w:val="24"/>
        </w:rPr>
        <w:t>Surveillance, sécurité et prévention des activités aquatiques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>Présence OBLIGATOIRE sur le bassin durant toute la plage horaire accueillant le public,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Application du règlement intérieur de la piscine et de la réglementation, les faire respecter par les usagers, 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Application des procédures d’interventions destinées à assurer la sécurité des utilisateurs (notamment le POSS : Plan d’Organisation de la Surveillance et des Secours), 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lastRenderedPageBreak/>
        <w:t xml:space="preserve">Intervention de secours dans tous lieux du bâtiment : prise d'initiative en cas d’urgence, pratique des gestes de premiers secours et de réanimation, avant l’arrivée des services d’urgences, 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Repérage des comportements à risque, 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Contrôle journalier du matériel de secours mis à disposition, 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>Détection d'anomalies des matériels de secours et d’entretien,</w:t>
      </w:r>
    </w:p>
    <w:p w:rsidR="009B1A71" w:rsidRPr="006B4E55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Contrôle réglementaire des caractères physico chimiques de l’eau des </w:t>
      </w:r>
      <w:r w:rsidRPr="006B4E55">
        <w:rPr>
          <w:sz w:val="24"/>
          <w:szCs w:val="24"/>
        </w:rPr>
        <w:t xml:space="preserve">bassins, </w:t>
      </w:r>
    </w:p>
    <w:p w:rsidR="009B1A71" w:rsidRPr="006B4E55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6B4E55">
        <w:rPr>
          <w:sz w:val="24"/>
          <w:szCs w:val="24"/>
        </w:rPr>
        <w:t>Participation aux activités d’entretien.</w:t>
      </w:r>
    </w:p>
    <w:p w:rsidR="00431F03" w:rsidRPr="00D609F1" w:rsidRDefault="009B1A71" w:rsidP="00912A7E">
      <w:pPr>
        <w:pStyle w:val="Paragraphedeliste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D609F1">
        <w:rPr>
          <w:b/>
          <w:sz w:val="24"/>
          <w:szCs w:val="24"/>
        </w:rPr>
        <w:t>Encadrement et animation d'activités aquatiques</w:t>
      </w:r>
      <w:r w:rsidR="00431F03" w:rsidRPr="00D609F1">
        <w:rPr>
          <w:b/>
          <w:sz w:val="24"/>
          <w:szCs w:val="24"/>
        </w:rPr>
        <w:t xml:space="preserve">. </w:t>
      </w:r>
    </w:p>
    <w:p w:rsidR="00F452E8" w:rsidRPr="00F452E8" w:rsidRDefault="00F452E8" w:rsidP="00F452E8">
      <w:pPr>
        <w:pStyle w:val="Paragraphedeliste"/>
        <w:numPr>
          <w:ilvl w:val="1"/>
          <w:numId w:val="39"/>
        </w:numPr>
        <w:jc w:val="both"/>
        <w:rPr>
          <w:rFonts w:cstheme="minorHAnsi"/>
          <w:sz w:val="32"/>
          <w:szCs w:val="24"/>
        </w:rPr>
      </w:pPr>
      <w:r w:rsidRPr="00F452E8">
        <w:rPr>
          <w:rFonts w:cstheme="minorHAnsi"/>
          <w:sz w:val="24"/>
          <w:szCs w:val="20"/>
          <w:shd w:val="clear" w:color="auto" w:fill="FFFFFF"/>
        </w:rPr>
        <w:t>Assurer l'enseignement scolaire, les cours de natations</w:t>
      </w:r>
    </w:p>
    <w:p w:rsidR="009B1A71" w:rsidRPr="009F3F07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Mise en place des outils d’animation et de surveillance (jeux nautiques, lignes d'eau, matériel d’apprentissage), </w:t>
      </w:r>
    </w:p>
    <w:p w:rsidR="009B1A71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>Adaptation de l'intervention en fonction des publics, des niveaux et des capacités d’apprentissage,</w:t>
      </w:r>
    </w:p>
    <w:p w:rsidR="00D609F1" w:rsidRPr="009F3F07" w:rsidRDefault="00D609F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Propositions de cours particuliers (apprendre à nager, aquagym</w:t>
      </w:r>
      <w:r w:rsidR="006B4E55">
        <w:rPr>
          <w:sz w:val="24"/>
          <w:szCs w:val="24"/>
        </w:rPr>
        <w:t>.</w:t>
      </w:r>
      <w:r>
        <w:rPr>
          <w:sz w:val="24"/>
          <w:szCs w:val="24"/>
        </w:rPr>
        <w:t>..)</w:t>
      </w:r>
    </w:p>
    <w:p w:rsidR="009B1A71" w:rsidRPr="006B4E55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6B4E55">
        <w:rPr>
          <w:sz w:val="24"/>
          <w:szCs w:val="24"/>
        </w:rPr>
        <w:t xml:space="preserve">Propositions et organisations d’activités quotidiennes et/ou hebdomadaires à destination de tout public et notamment des 10-14 ans et 14-17 ans, </w:t>
      </w:r>
    </w:p>
    <w:p w:rsidR="009B1A71" w:rsidRDefault="009B1A71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>Entretien du matériel pédagogique.</w:t>
      </w:r>
    </w:p>
    <w:p w:rsidR="00673296" w:rsidRPr="00D609F1" w:rsidRDefault="009B1A71" w:rsidP="00912A7E">
      <w:pPr>
        <w:pStyle w:val="Paragraphedeliste"/>
        <w:numPr>
          <w:ilvl w:val="0"/>
          <w:numId w:val="39"/>
        </w:numPr>
        <w:jc w:val="both"/>
        <w:rPr>
          <w:b/>
          <w:sz w:val="24"/>
          <w:szCs w:val="24"/>
        </w:rPr>
      </w:pPr>
      <w:r w:rsidRPr="00D609F1">
        <w:rPr>
          <w:b/>
          <w:sz w:val="24"/>
          <w:szCs w:val="24"/>
        </w:rPr>
        <w:t xml:space="preserve">Accueil des publics </w:t>
      </w:r>
    </w:p>
    <w:p w:rsidR="009F3F07" w:rsidRPr="009F3F07" w:rsidRDefault="009F3F07" w:rsidP="009B1A7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 xml:space="preserve">Renseignements et conseils aux usagers sur les activités aquatiques et l'utilisation du matériel, </w:t>
      </w:r>
    </w:p>
    <w:p w:rsidR="009F3F07" w:rsidRPr="00D609F1" w:rsidRDefault="009F3F07" w:rsidP="00D609F1">
      <w:pPr>
        <w:pStyle w:val="Paragraphedeliste"/>
        <w:numPr>
          <w:ilvl w:val="1"/>
          <w:numId w:val="39"/>
        </w:numPr>
        <w:jc w:val="both"/>
        <w:rPr>
          <w:sz w:val="24"/>
          <w:szCs w:val="24"/>
        </w:rPr>
      </w:pPr>
      <w:r w:rsidRPr="009F3F07">
        <w:rPr>
          <w:sz w:val="24"/>
          <w:szCs w:val="24"/>
        </w:rPr>
        <w:t>Dialogue avec les usagers et règlement des conflits potentiels.</w:t>
      </w:r>
    </w:p>
    <w:p w:rsidR="009F3F07" w:rsidRDefault="009F3F07" w:rsidP="00673296">
      <w:pPr>
        <w:jc w:val="both"/>
        <w:rPr>
          <w:b/>
          <w:bCs/>
          <w:sz w:val="24"/>
          <w:szCs w:val="24"/>
        </w:rPr>
      </w:pP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Profil</w:t>
      </w:r>
      <w:r w:rsidR="00D609F1">
        <w:rPr>
          <w:b/>
          <w:bCs/>
          <w:sz w:val="24"/>
          <w:szCs w:val="24"/>
        </w:rPr>
        <w:t xml:space="preserve"> recherché</w:t>
      </w:r>
      <w:r w:rsidRPr="00D45A23">
        <w:rPr>
          <w:b/>
          <w:bCs/>
          <w:sz w:val="24"/>
          <w:szCs w:val="24"/>
        </w:rPr>
        <w:t> :</w:t>
      </w: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</w:p>
    <w:p w:rsidR="005C777C" w:rsidRDefault="00242CD6" w:rsidP="00D609F1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D609F1">
        <w:rPr>
          <w:bCs/>
          <w:sz w:val="24"/>
          <w:szCs w:val="24"/>
        </w:rPr>
        <w:t xml:space="preserve">Candidat </w:t>
      </w:r>
      <w:r w:rsidR="00D45A23" w:rsidRPr="00D609F1">
        <w:rPr>
          <w:bCs/>
          <w:sz w:val="24"/>
          <w:szCs w:val="24"/>
        </w:rPr>
        <w:t>confirmé</w:t>
      </w:r>
      <w:r w:rsidRPr="00D609F1">
        <w:rPr>
          <w:bCs/>
          <w:sz w:val="24"/>
          <w:szCs w:val="24"/>
        </w:rPr>
        <w:t xml:space="preserve"> justifiant d’un</w:t>
      </w:r>
      <w:r w:rsidR="0028212B" w:rsidRPr="00D609F1">
        <w:rPr>
          <w:bCs/>
          <w:sz w:val="24"/>
          <w:szCs w:val="24"/>
        </w:rPr>
        <w:t>e</w:t>
      </w:r>
      <w:r w:rsidR="00D609F1" w:rsidRPr="00D609F1">
        <w:rPr>
          <w:bCs/>
          <w:sz w:val="24"/>
          <w:szCs w:val="24"/>
        </w:rPr>
        <w:t xml:space="preserve"> expérience réussie</w:t>
      </w:r>
      <w:r w:rsidRPr="00D609F1">
        <w:rPr>
          <w:bCs/>
          <w:sz w:val="24"/>
          <w:szCs w:val="24"/>
        </w:rPr>
        <w:t>.</w:t>
      </w:r>
    </w:p>
    <w:p w:rsidR="00F779FF" w:rsidRPr="00D609F1" w:rsidRDefault="005C777C" w:rsidP="00D609F1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Formation et qualification :</w:t>
      </w:r>
      <w:r w:rsidR="00F779FF" w:rsidRPr="00D609F1">
        <w:rPr>
          <w:bCs/>
          <w:sz w:val="24"/>
          <w:szCs w:val="24"/>
        </w:rPr>
        <w:t xml:space="preserve"> </w:t>
      </w:r>
    </w:p>
    <w:p w:rsidR="00D1047F" w:rsidRPr="005C777C" w:rsidRDefault="0043046D" w:rsidP="005C777C">
      <w:pPr>
        <w:pStyle w:val="Paragraphedeliste"/>
        <w:ind w:left="360"/>
        <w:jc w:val="both"/>
        <w:rPr>
          <w:sz w:val="24"/>
          <w:szCs w:val="24"/>
        </w:rPr>
      </w:pPr>
      <w:r w:rsidRPr="0043046D">
        <w:rPr>
          <w:sz w:val="24"/>
          <w:szCs w:val="24"/>
        </w:rPr>
        <w:t xml:space="preserve">BEESAN </w:t>
      </w:r>
      <w:r w:rsidRPr="005C777C">
        <w:rPr>
          <w:i/>
          <w:sz w:val="24"/>
          <w:szCs w:val="24"/>
        </w:rPr>
        <w:t>(brevet d'état d'éducateur sportif aux activités de la natation)</w:t>
      </w:r>
      <w:r>
        <w:rPr>
          <w:sz w:val="24"/>
          <w:szCs w:val="24"/>
        </w:rPr>
        <w:t> ;</w:t>
      </w:r>
      <w:r w:rsidR="005C777C">
        <w:rPr>
          <w:sz w:val="24"/>
          <w:szCs w:val="24"/>
        </w:rPr>
        <w:t xml:space="preserve"> </w:t>
      </w:r>
      <w:r w:rsidR="00D1047F" w:rsidRPr="005C777C">
        <w:rPr>
          <w:sz w:val="24"/>
          <w:szCs w:val="24"/>
        </w:rPr>
        <w:t xml:space="preserve">BPJEPS AAN </w:t>
      </w:r>
      <w:r w:rsidR="00D1047F" w:rsidRPr="005C777C">
        <w:rPr>
          <w:i/>
          <w:sz w:val="24"/>
          <w:szCs w:val="24"/>
        </w:rPr>
        <w:t>(Brevet Professionnel de la Jeunesse de l’Éducation et du Sport, option Activités Aquatiques et de la Natation) </w:t>
      </w:r>
      <w:r w:rsidR="00D1047F" w:rsidRPr="005C777C">
        <w:rPr>
          <w:sz w:val="24"/>
          <w:szCs w:val="24"/>
        </w:rPr>
        <w:t>;</w:t>
      </w:r>
      <w:r w:rsidR="005C777C">
        <w:rPr>
          <w:sz w:val="24"/>
          <w:szCs w:val="24"/>
        </w:rPr>
        <w:t xml:space="preserve"> </w:t>
      </w:r>
      <w:r w:rsidR="00D1047F" w:rsidRPr="005C777C">
        <w:rPr>
          <w:sz w:val="24"/>
          <w:szCs w:val="24"/>
        </w:rPr>
        <w:t xml:space="preserve">DEJEPS </w:t>
      </w:r>
      <w:r w:rsidR="00D1047F" w:rsidRPr="005C777C">
        <w:rPr>
          <w:i/>
          <w:sz w:val="24"/>
          <w:szCs w:val="24"/>
        </w:rPr>
        <w:t>(diplôme d’Etat de la jeunesse, de l’éducation populaire et du sport)</w:t>
      </w:r>
      <w:r w:rsidR="00D1047F" w:rsidRPr="005C777C">
        <w:rPr>
          <w:sz w:val="24"/>
          <w:szCs w:val="24"/>
        </w:rPr>
        <w:t xml:space="preserve"> couplé à l’obtention du CSSSMA </w:t>
      </w:r>
      <w:r w:rsidR="00D1047F" w:rsidRPr="005C777C">
        <w:rPr>
          <w:i/>
          <w:sz w:val="24"/>
          <w:szCs w:val="24"/>
        </w:rPr>
        <w:t>(certificat de spécialisation sauvetage et sécurité en milieu aquatique</w:t>
      </w:r>
      <w:r w:rsidR="00B3190B" w:rsidRPr="005C777C">
        <w:rPr>
          <w:i/>
          <w:sz w:val="24"/>
          <w:szCs w:val="24"/>
        </w:rPr>
        <w:t>)</w:t>
      </w:r>
      <w:r w:rsidR="00D1047F" w:rsidRPr="005C777C">
        <w:rPr>
          <w:sz w:val="24"/>
          <w:szCs w:val="24"/>
        </w:rPr>
        <w:t> ;</w:t>
      </w:r>
      <w:r w:rsidR="005C777C">
        <w:rPr>
          <w:sz w:val="24"/>
          <w:szCs w:val="24"/>
        </w:rPr>
        <w:t xml:space="preserve"> </w:t>
      </w:r>
      <w:r w:rsidR="00D1047F" w:rsidRPr="005C777C">
        <w:rPr>
          <w:sz w:val="24"/>
          <w:szCs w:val="24"/>
        </w:rPr>
        <w:t xml:space="preserve">Licence </w:t>
      </w:r>
      <w:proofErr w:type="spellStart"/>
      <w:r w:rsidR="00D1047F" w:rsidRPr="005C777C">
        <w:rPr>
          <w:sz w:val="24"/>
          <w:szCs w:val="24"/>
        </w:rPr>
        <w:t>Apas</w:t>
      </w:r>
      <w:proofErr w:type="spellEnd"/>
      <w:r w:rsidR="00D1047F" w:rsidRPr="005C777C">
        <w:rPr>
          <w:sz w:val="24"/>
          <w:szCs w:val="24"/>
        </w:rPr>
        <w:t xml:space="preserve"> </w:t>
      </w:r>
      <w:r w:rsidR="00D1047F" w:rsidRPr="005C777C">
        <w:rPr>
          <w:i/>
          <w:sz w:val="24"/>
          <w:szCs w:val="24"/>
        </w:rPr>
        <w:t xml:space="preserve">(activité physique adaptée et santé) </w:t>
      </w:r>
      <w:r w:rsidR="00D1047F" w:rsidRPr="005C777C">
        <w:rPr>
          <w:sz w:val="24"/>
          <w:szCs w:val="24"/>
        </w:rPr>
        <w:t>également couplée à l’</w:t>
      </w:r>
      <w:proofErr w:type="spellStart"/>
      <w:r w:rsidR="00D1047F" w:rsidRPr="005C777C">
        <w:rPr>
          <w:sz w:val="24"/>
          <w:szCs w:val="24"/>
        </w:rPr>
        <w:t>Uessma</w:t>
      </w:r>
      <w:proofErr w:type="spellEnd"/>
      <w:r w:rsidR="00B3190B" w:rsidRPr="005C777C">
        <w:rPr>
          <w:sz w:val="24"/>
          <w:szCs w:val="24"/>
        </w:rPr>
        <w:t xml:space="preserve"> </w:t>
      </w:r>
      <w:r w:rsidR="00B3190B" w:rsidRPr="005C777C">
        <w:rPr>
          <w:i/>
          <w:sz w:val="24"/>
          <w:szCs w:val="24"/>
        </w:rPr>
        <w:t>(unité d'enseignement sauvetage et sécurité en milieu aquatique)</w:t>
      </w:r>
      <w:r w:rsidR="00D1047F" w:rsidRPr="005C777C">
        <w:rPr>
          <w:sz w:val="24"/>
          <w:szCs w:val="24"/>
        </w:rPr>
        <w:t>.</w:t>
      </w:r>
    </w:p>
    <w:p w:rsidR="00D609F1" w:rsidRPr="00D609F1" w:rsidRDefault="00D609F1" w:rsidP="00D609F1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 w:rsidRPr="00D609F1">
        <w:rPr>
          <w:sz w:val="24"/>
          <w:szCs w:val="24"/>
        </w:rPr>
        <w:t>C</w:t>
      </w:r>
      <w:r w:rsidR="005C777C">
        <w:rPr>
          <w:sz w:val="24"/>
          <w:szCs w:val="24"/>
        </w:rPr>
        <w:t>onnaissance de la p</w:t>
      </w:r>
      <w:r w:rsidRPr="00D609F1">
        <w:rPr>
          <w:sz w:val="24"/>
          <w:szCs w:val="24"/>
        </w:rPr>
        <w:t>édagogie des activités physiques et spo</w:t>
      </w:r>
      <w:r w:rsidR="00EC1CD3">
        <w:rPr>
          <w:sz w:val="24"/>
          <w:szCs w:val="24"/>
        </w:rPr>
        <w:t>rtives (techniques et outils), de la r</w:t>
      </w:r>
      <w:r w:rsidRPr="00D609F1">
        <w:rPr>
          <w:sz w:val="24"/>
          <w:szCs w:val="24"/>
        </w:rPr>
        <w:t xml:space="preserve">églementation des activités aquatiques, </w:t>
      </w:r>
      <w:r w:rsidR="00EC1CD3">
        <w:rPr>
          <w:sz w:val="24"/>
          <w:szCs w:val="24"/>
        </w:rPr>
        <w:t>des r</w:t>
      </w:r>
      <w:r w:rsidRPr="00D609F1">
        <w:rPr>
          <w:sz w:val="24"/>
          <w:szCs w:val="24"/>
        </w:rPr>
        <w:t xml:space="preserve">ègles d'utilisation du matériel aquatique et des équipements, </w:t>
      </w:r>
      <w:r w:rsidR="00EC1CD3">
        <w:rPr>
          <w:sz w:val="24"/>
          <w:szCs w:val="24"/>
        </w:rPr>
        <w:t>de la r</w:t>
      </w:r>
      <w:r w:rsidRPr="00D609F1">
        <w:rPr>
          <w:sz w:val="24"/>
          <w:szCs w:val="24"/>
        </w:rPr>
        <w:t>èglementation des Activités Physiques et Sportives (APS), POSS (Plan d’Organisation de la Surveillance et des Secours) et procédures d'urgence en cas d’incident.</w:t>
      </w:r>
    </w:p>
    <w:p w:rsidR="00D609F1" w:rsidRPr="00D609F1" w:rsidRDefault="00D609F1" w:rsidP="00517DD0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 w:rsidRPr="00D609F1">
        <w:rPr>
          <w:sz w:val="24"/>
          <w:szCs w:val="24"/>
        </w:rPr>
        <w:t xml:space="preserve">Aptitude physique à l'exercice de la profession, </w:t>
      </w:r>
    </w:p>
    <w:p w:rsidR="00D609F1" w:rsidRPr="00D609F1" w:rsidRDefault="00D609F1" w:rsidP="00517DD0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 w:rsidRPr="00D609F1">
        <w:rPr>
          <w:sz w:val="24"/>
          <w:szCs w:val="24"/>
        </w:rPr>
        <w:t xml:space="preserve">Sens de la pédagogie, patience et disponibilité, </w:t>
      </w:r>
    </w:p>
    <w:p w:rsidR="00D609F1" w:rsidRPr="00D609F1" w:rsidRDefault="00EC1CD3" w:rsidP="00D609F1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09F1" w:rsidRPr="00D609F1">
        <w:rPr>
          <w:sz w:val="24"/>
          <w:szCs w:val="24"/>
        </w:rPr>
        <w:t xml:space="preserve">ens de l'accueil et du service public, </w:t>
      </w:r>
    </w:p>
    <w:p w:rsidR="00D609F1" w:rsidRPr="00D609F1" w:rsidRDefault="00D609F1" w:rsidP="00D609F1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 w:rsidRPr="00D609F1">
        <w:rPr>
          <w:sz w:val="24"/>
          <w:szCs w:val="24"/>
        </w:rPr>
        <w:t xml:space="preserve">Travail et esprit d’équipe, </w:t>
      </w:r>
    </w:p>
    <w:p w:rsidR="00D609F1" w:rsidRPr="00D609F1" w:rsidRDefault="00D609F1" w:rsidP="00D609F1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 w:rsidRPr="00D609F1">
        <w:rPr>
          <w:sz w:val="24"/>
          <w:szCs w:val="24"/>
        </w:rPr>
        <w:t xml:space="preserve">Adaptabilité en fonction des besoins du service, </w:t>
      </w:r>
    </w:p>
    <w:p w:rsidR="00D609F1" w:rsidRPr="00D609F1" w:rsidRDefault="00EC1CD3" w:rsidP="00D609F1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Dynamisme, réactivité, </w:t>
      </w:r>
      <w:r w:rsidR="00D609F1" w:rsidRPr="00D609F1">
        <w:rPr>
          <w:sz w:val="24"/>
          <w:szCs w:val="24"/>
        </w:rPr>
        <w:t>esprit d’initiative</w:t>
      </w:r>
      <w:r>
        <w:rPr>
          <w:sz w:val="24"/>
          <w:szCs w:val="24"/>
        </w:rPr>
        <w:t xml:space="preserve"> et</w:t>
      </w:r>
      <w:r w:rsidR="00D609F1" w:rsidRPr="00D609F1">
        <w:rPr>
          <w:sz w:val="24"/>
          <w:szCs w:val="24"/>
        </w:rPr>
        <w:t xml:space="preserve"> rigueur</w:t>
      </w:r>
    </w:p>
    <w:p w:rsidR="00D609F1" w:rsidRDefault="00D609F1" w:rsidP="00673296">
      <w:pPr>
        <w:jc w:val="both"/>
        <w:rPr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</w:p>
    <w:p w:rsidR="00B3190B" w:rsidRDefault="00B3190B" w:rsidP="002D224A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Contrat à durée déterminée du 6 mai au 8 septembre. 2024. </w:t>
      </w:r>
    </w:p>
    <w:p w:rsidR="00B3190B" w:rsidRDefault="00B3190B" w:rsidP="002D224A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Emploi à temps </w:t>
      </w:r>
      <w:r w:rsidR="000A652F" w:rsidRPr="000A652F">
        <w:rPr>
          <w:bCs/>
          <w:sz w:val="24"/>
          <w:szCs w:val="24"/>
        </w:rPr>
        <w:t>non complet</w:t>
      </w:r>
      <w:r w:rsidR="000A652F">
        <w:rPr>
          <w:bCs/>
          <w:sz w:val="24"/>
          <w:szCs w:val="24"/>
        </w:rPr>
        <w:t xml:space="preserve"> à</w:t>
      </w:r>
      <w:r w:rsidR="005C777C">
        <w:rPr>
          <w:bCs/>
          <w:sz w:val="24"/>
          <w:szCs w:val="24"/>
        </w:rPr>
        <w:t xml:space="preserve"> raison de</w:t>
      </w:r>
      <w:r w:rsidR="000A652F">
        <w:rPr>
          <w:bCs/>
          <w:sz w:val="24"/>
          <w:szCs w:val="24"/>
        </w:rPr>
        <w:t xml:space="preserve"> 26</w:t>
      </w:r>
      <w:r w:rsidR="005C777C">
        <w:rPr>
          <w:bCs/>
          <w:sz w:val="24"/>
          <w:szCs w:val="24"/>
        </w:rPr>
        <w:t>/35</w:t>
      </w:r>
      <w:r w:rsidR="005C777C" w:rsidRPr="005C777C">
        <w:rPr>
          <w:bCs/>
          <w:sz w:val="24"/>
          <w:szCs w:val="24"/>
          <w:vertAlign w:val="superscript"/>
        </w:rPr>
        <w:t>e</w:t>
      </w:r>
      <w:r w:rsidR="005C777C">
        <w:rPr>
          <w:bCs/>
          <w:sz w:val="24"/>
          <w:szCs w:val="24"/>
        </w:rPr>
        <w:t>.</w:t>
      </w:r>
    </w:p>
    <w:p w:rsidR="00673296" w:rsidRPr="002D224A" w:rsidRDefault="00D609F1" w:rsidP="002D224A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Travail </w:t>
      </w:r>
      <w:r w:rsidR="00FF2360">
        <w:rPr>
          <w:bCs/>
          <w:sz w:val="24"/>
          <w:szCs w:val="24"/>
        </w:rPr>
        <w:t>en semaine,</w:t>
      </w:r>
      <w:r>
        <w:rPr>
          <w:bCs/>
          <w:sz w:val="24"/>
          <w:szCs w:val="24"/>
        </w:rPr>
        <w:t xml:space="preserve"> week-en</w:t>
      </w:r>
      <w:r w:rsidR="006B4E55">
        <w:rPr>
          <w:bCs/>
          <w:sz w:val="24"/>
          <w:szCs w:val="24"/>
        </w:rPr>
        <w:t>ds et jours fériés</w:t>
      </w:r>
      <w:r w:rsidR="00B3190B">
        <w:rPr>
          <w:bCs/>
          <w:sz w:val="24"/>
          <w:szCs w:val="24"/>
        </w:rPr>
        <w:t>.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Rémunération statutaire </w:t>
      </w:r>
      <w:r w:rsidR="009F3F07">
        <w:rPr>
          <w:rFonts w:eastAsia="Calibri" w:cs="Times New Roman"/>
          <w:sz w:val="24"/>
          <w:szCs w:val="24"/>
        </w:rPr>
        <w:t>+ régime indemnitaire</w:t>
      </w:r>
      <w:r w:rsidRPr="00D45A23">
        <w:rPr>
          <w:rFonts w:eastAsia="Calibri" w:cs="Times New Roman"/>
          <w:sz w:val="24"/>
          <w:szCs w:val="24"/>
        </w:rPr>
        <w:t>.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Lieu de travail :</w:t>
      </w:r>
      <w:r w:rsidR="009F3F07">
        <w:rPr>
          <w:rFonts w:eastAsia="Calibri" w:cs="Times New Roman"/>
          <w:sz w:val="24"/>
          <w:szCs w:val="24"/>
        </w:rPr>
        <w:t xml:space="preserve"> </w:t>
      </w:r>
      <w:r w:rsidR="00F452E8">
        <w:rPr>
          <w:rFonts w:eastAsia="Calibri" w:cs="Times New Roman"/>
          <w:sz w:val="24"/>
          <w:szCs w:val="24"/>
        </w:rPr>
        <w:t>Piscine, s</w:t>
      </w:r>
      <w:r w:rsidR="00431F03" w:rsidRPr="00D45A23">
        <w:rPr>
          <w:rFonts w:eastAsia="Calibri" w:cs="Times New Roman"/>
          <w:sz w:val="24"/>
          <w:szCs w:val="24"/>
        </w:rPr>
        <w:t xml:space="preserve">ite de Vern d’Anjou </w:t>
      </w:r>
      <w:r w:rsidR="009F3F07">
        <w:rPr>
          <w:rFonts w:eastAsia="Calibri" w:cs="Times New Roman"/>
          <w:sz w:val="24"/>
          <w:szCs w:val="24"/>
        </w:rPr>
        <w:t>commune déléguée d’</w:t>
      </w:r>
      <w:r w:rsidR="009F3F07" w:rsidRPr="00D45A23">
        <w:rPr>
          <w:rFonts w:eastAsia="Calibri" w:cs="Times New Roman"/>
          <w:sz w:val="24"/>
          <w:szCs w:val="24"/>
        </w:rPr>
        <w:t>ERDRE EN ANJOU</w:t>
      </w:r>
      <w:r w:rsidR="00B3190B">
        <w:rPr>
          <w:rFonts w:eastAsia="Calibri" w:cs="Times New Roman"/>
          <w:sz w:val="24"/>
          <w:szCs w:val="24"/>
        </w:rPr>
        <w:t>.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Default="00AA4567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Pour les renseignements d’ordre technique</w:t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 xml:space="preserve">, vous pouvez contacter </w:t>
      </w:r>
      <w:r w:rsidR="002D224A" w:rsidRPr="002D224A">
        <w:rPr>
          <w:rFonts w:eastAsia="Calibri" w:cs="Times New Roman"/>
          <w:sz w:val="24"/>
          <w:szCs w:val="24"/>
        </w:rPr>
        <w:t>Monsieur Mickaël RICARD</w:t>
      </w:r>
      <w:r w:rsidR="00673296" w:rsidRPr="002D224A">
        <w:rPr>
          <w:rFonts w:eastAsia="Calibri" w:cs="Times New Roman"/>
          <w:sz w:val="24"/>
          <w:szCs w:val="24"/>
        </w:rPr>
        <w:t xml:space="preserve"> -</w:t>
      </w:r>
      <w:r w:rsidR="002D224A" w:rsidRPr="002D224A">
        <w:rPr>
          <w:rFonts w:eastAsia="Calibri" w:cs="Times New Roman"/>
          <w:sz w:val="24"/>
          <w:szCs w:val="24"/>
        </w:rPr>
        <w:t xml:space="preserve"> Directeur des Services à la Population -</w:t>
      </w:r>
      <w:r w:rsidR="00673296" w:rsidRPr="002D224A">
        <w:rPr>
          <w:rFonts w:eastAsia="Calibri" w:cs="Times New Roman"/>
          <w:sz w:val="24"/>
          <w:szCs w:val="24"/>
        </w:rPr>
        <w:t xml:space="preserve"> Tél. : </w:t>
      </w:r>
      <w:r w:rsidR="002D224A" w:rsidRPr="002D224A">
        <w:rPr>
          <w:rFonts w:eastAsia="Calibri" w:cs="Times New Roman"/>
          <w:sz w:val="24"/>
          <w:szCs w:val="24"/>
        </w:rPr>
        <w:t>07.88.02.83.23</w:t>
      </w:r>
      <w:r>
        <w:rPr>
          <w:rFonts w:eastAsia="Calibri" w:cs="Times New Roman"/>
          <w:sz w:val="24"/>
          <w:szCs w:val="24"/>
        </w:rPr>
        <w:t>,</w:t>
      </w:r>
    </w:p>
    <w:p w:rsidR="00673296" w:rsidRPr="00D45A23" w:rsidRDefault="00AA4567" w:rsidP="00673296">
      <w:pPr>
        <w:jc w:val="both"/>
        <w:rPr>
          <w:rFonts w:cstheme="minorHAns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Pour les renseignements d’ordre administratif, vous pouvez contacter le service Ressources Humaines d’Erdre-en-Anjou - </w:t>
      </w:r>
      <w:r w:rsidR="00673296" w:rsidRPr="002D224A">
        <w:rPr>
          <w:rFonts w:eastAsia="Calibri" w:cs="Times New Roman"/>
          <w:sz w:val="24"/>
          <w:szCs w:val="24"/>
        </w:rPr>
        <w:t xml:space="preserve">Courriel : </w:t>
      </w:r>
      <w:hyperlink r:id="rId8" w:history="1">
        <w:r w:rsidR="002D224A" w:rsidRPr="00D663BC">
          <w:rPr>
            <w:rStyle w:val="Lienhypertexte"/>
            <w:rFonts w:eastAsia="Calibri" w:cs="Times New Roman"/>
            <w:sz w:val="24"/>
            <w:szCs w:val="24"/>
          </w:rPr>
          <w:t>rh@erdre-en-anjou.fr</w:t>
        </w:r>
      </w:hyperlink>
      <w:r w:rsidR="002D224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.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CA3F72" w:rsidRPr="00D45A23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9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</w:p>
    <w:p w:rsidR="00023BA4" w:rsidRDefault="00023BA4" w:rsidP="005E0AC3">
      <w:pPr>
        <w:jc w:val="both"/>
        <w:rPr>
          <w:rFonts w:eastAsia="Calibri" w:cs="Times New Roman"/>
          <w:sz w:val="24"/>
          <w:szCs w:val="24"/>
        </w:rPr>
      </w:pPr>
    </w:p>
    <w:p w:rsidR="00023BA4" w:rsidRDefault="00023BA4" w:rsidP="005E0AC3">
      <w:pPr>
        <w:jc w:val="both"/>
        <w:rPr>
          <w:rFonts w:cstheme="minorHAnsi"/>
          <w:sz w:val="24"/>
          <w:szCs w:val="24"/>
        </w:rPr>
      </w:pPr>
    </w:p>
    <w:sectPr w:rsidR="00023BA4" w:rsidSect="00D609F1">
      <w:headerReference w:type="default" r:id="rId10"/>
      <w:headerReference w:type="first" r:id="rId11"/>
      <w:type w:val="continuous"/>
      <w:pgSz w:w="11906" w:h="16838" w:code="9"/>
      <w:pgMar w:top="1134" w:right="1134" w:bottom="1418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D3" w:rsidRDefault="00EC1CD3" w:rsidP="003E0BCB">
      <w:r>
        <w:separator/>
      </w:r>
    </w:p>
  </w:endnote>
  <w:endnote w:type="continuationSeparator" w:id="0">
    <w:p w:rsidR="00EC1CD3" w:rsidRDefault="00EC1CD3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D3" w:rsidRDefault="00EC1CD3" w:rsidP="003E0BCB">
      <w:r>
        <w:separator/>
      </w:r>
    </w:p>
  </w:footnote>
  <w:footnote w:type="continuationSeparator" w:id="0">
    <w:p w:rsidR="00EC1CD3" w:rsidRDefault="00EC1CD3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D3" w:rsidRDefault="00EC1CD3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D3" w:rsidRDefault="00EC1C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posOffset>-110490</wp:posOffset>
          </wp:positionH>
          <wp:positionV relativeFrom="paragraph">
            <wp:posOffset>-548640</wp:posOffset>
          </wp:positionV>
          <wp:extent cx="7653054" cy="11010900"/>
          <wp:effectExtent l="0" t="0" r="508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0"/>
  </w:num>
  <w:num w:numId="5">
    <w:abstractNumId w:val="36"/>
  </w:num>
  <w:num w:numId="6">
    <w:abstractNumId w:val="27"/>
  </w:num>
  <w:num w:numId="7">
    <w:abstractNumId w:val="25"/>
  </w:num>
  <w:num w:numId="8">
    <w:abstractNumId w:val="22"/>
  </w:num>
  <w:num w:numId="9">
    <w:abstractNumId w:val="3"/>
  </w:num>
  <w:num w:numId="10">
    <w:abstractNumId w:val="23"/>
  </w:num>
  <w:num w:numId="11">
    <w:abstractNumId w:val="8"/>
  </w:num>
  <w:num w:numId="12">
    <w:abstractNumId w:val="17"/>
  </w:num>
  <w:num w:numId="13">
    <w:abstractNumId w:val="33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0"/>
  </w:num>
  <w:num w:numId="19">
    <w:abstractNumId w:val="16"/>
  </w:num>
  <w:num w:numId="20">
    <w:abstractNumId w:val="19"/>
  </w:num>
  <w:num w:numId="21">
    <w:abstractNumId w:val="34"/>
  </w:num>
  <w:num w:numId="22">
    <w:abstractNumId w:val="26"/>
  </w:num>
  <w:num w:numId="23">
    <w:abstractNumId w:val="0"/>
  </w:num>
  <w:num w:numId="24">
    <w:abstractNumId w:val="4"/>
  </w:num>
  <w:num w:numId="25">
    <w:abstractNumId w:val="14"/>
  </w:num>
  <w:num w:numId="26">
    <w:abstractNumId w:val="37"/>
  </w:num>
  <w:num w:numId="27">
    <w:abstractNumId w:val="5"/>
  </w:num>
  <w:num w:numId="28">
    <w:abstractNumId w:val="20"/>
  </w:num>
  <w:num w:numId="29">
    <w:abstractNumId w:val="29"/>
  </w:num>
  <w:num w:numId="30">
    <w:abstractNumId w:val="15"/>
  </w:num>
  <w:num w:numId="31">
    <w:abstractNumId w:val="9"/>
  </w:num>
  <w:num w:numId="32">
    <w:abstractNumId w:val="32"/>
  </w:num>
  <w:num w:numId="33">
    <w:abstractNumId w:val="35"/>
  </w:num>
  <w:num w:numId="34">
    <w:abstractNumId w:val="18"/>
  </w:num>
  <w:num w:numId="35">
    <w:abstractNumId w:val="2"/>
  </w:num>
  <w:num w:numId="36">
    <w:abstractNumId w:val="12"/>
  </w:num>
  <w:num w:numId="37">
    <w:abstractNumId w:val="5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652F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77B6D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224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046D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17DD0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C777C"/>
    <w:rsid w:val="005D11C2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4E5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71"/>
    <w:rsid w:val="009B1AE3"/>
    <w:rsid w:val="009B51CC"/>
    <w:rsid w:val="009C52A4"/>
    <w:rsid w:val="009E425C"/>
    <w:rsid w:val="009F1B78"/>
    <w:rsid w:val="009F38BB"/>
    <w:rsid w:val="009F3F07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4567"/>
    <w:rsid w:val="00AA5DA6"/>
    <w:rsid w:val="00AB61A6"/>
    <w:rsid w:val="00AC12C1"/>
    <w:rsid w:val="00AD1279"/>
    <w:rsid w:val="00AD19E6"/>
    <w:rsid w:val="00AD1A9E"/>
    <w:rsid w:val="00AD71DB"/>
    <w:rsid w:val="00B0640A"/>
    <w:rsid w:val="00B07F40"/>
    <w:rsid w:val="00B13BBD"/>
    <w:rsid w:val="00B1468C"/>
    <w:rsid w:val="00B17071"/>
    <w:rsid w:val="00B204EF"/>
    <w:rsid w:val="00B25F29"/>
    <w:rsid w:val="00B3190B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4D99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47F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6501"/>
    <w:rsid w:val="00D609F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A45CA"/>
    <w:rsid w:val="00EA4E9A"/>
    <w:rsid w:val="00EB0FBD"/>
    <w:rsid w:val="00EB57E2"/>
    <w:rsid w:val="00EC1CD3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2E8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2360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E1F6EF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erdre-en-anjo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63DE-F460-4E66-83A2-0A31FE2E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7</cp:revision>
  <cp:lastPrinted>2017-08-09T10:27:00Z</cp:lastPrinted>
  <dcterms:created xsi:type="dcterms:W3CDTF">2024-03-25T13:08:00Z</dcterms:created>
  <dcterms:modified xsi:type="dcterms:W3CDTF">2024-04-03T08:37:00Z</dcterms:modified>
</cp:coreProperties>
</file>